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EB" w:rsidRDefault="00A97EEB">
      <w:pPr>
        <w:spacing w:after="0" w:line="240" w:lineRule="auto"/>
        <w:rPr>
          <w:rFonts w:ascii="Times New Roman" w:eastAsia="Times New Roman" w:hAnsi="Times New Roman" w:cs="Times New Roman"/>
          <w:sz w:val="24"/>
          <w:szCs w:val="24"/>
        </w:rPr>
      </w:pPr>
    </w:p>
    <w:p w:rsidR="00A97EEB" w:rsidRDefault="00B74013">
      <w:pPr>
        <w:spacing w:after="0" w:line="240" w:lineRule="auto"/>
        <w:rPr>
          <w:rFonts w:ascii="Times New Roman" w:eastAsia="Times New Roman" w:hAnsi="Times New Roman" w:cs="Times New Roman"/>
          <w:b/>
          <w:sz w:val="48"/>
          <w:szCs w:val="4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48"/>
          <w:szCs w:val="48"/>
        </w:rPr>
        <w:t>Douglas Manson</w:t>
      </w:r>
      <w:r>
        <w:rPr>
          <w:noProof/>
        </w:rPr>
        <w:drawing>
          <wp:anchor distT="0" distB="0" distL="0" distR="0" simplePos="0" relativeHeight="251658240" behindDoc="0" locked="0" layoutInCell="1" hidden="0" allowOverlap="1">
            <wp:simplePos x="0" y="0"/>
            <wp:positionH relativeFrom="column">
              <wp:posOffset>-95249</wp:posOffset>
            </wp:positionH>
            <wp:positionV relativeFrom="paragraph">
              <wp:posOffset>19050</wp:posOffset>
            </wp:positionV>
            <wp:extent cx="1571625" cy="1962150"/>
            <wp:effectExtent l="0" t="0" r="0" b="0"/>
            <wp:wrapSquare wrapText="bothSides" distT="0" distB="0" distL="0" distR="0"/>
            <wp:docPr id="1" name="image2.jpg" descr="Douglas Manson"/>
            <wp:cNvGraphicFramePr/>
            <a:graphic xmlns:a="http://schemas.openxmlformats.org/drawingml/2006/main">
              <a:graphicData uri="http://schemas.openxmlformats.org/drawingml/2006/picture">
                <pic:pic xmlns:pic="http://schemas.openxmlformats.org/drawingml/2006/picture">
                  <pic:nvPicPr>
                    <pic:cNvPr id="0" name="image2.jpg" descr="Douglas Manson"/>
                    <pic:cNvPicPr preferRelativeResize="0"/>
                  </pic:nvPicPr>
                  <pic:blipFill>
                    <a:blip r:embed="rId6"/>
                    <a:srcRect/>
                    <a:stretch>
                      <a:fillRect/>
                    </a:stretch>
                  </pic:blipFill>
                  <pic:spPr>
                    <a:xfrm>
                      <a:off x="0" y="0"/>
                      <a:ext cx="1571625" cy="1962150"/>
                    </a:xfrm>
                    <a:prstGeom prst="rect">
                      <a:avLst/>
                    </a:prstGeom>
                    <a:ln/>
                  </pic:spPr>
                </pic:pic>
              </a:graphicData>
            </a:graphic>
          </wp:anchor>
        </w:drawing>
      </w:r>
    </w:p>
    <w:p w:rsidR="00A97EEB" w:rsidRDefault="00B74013" w:rsidP="00B74013">
      <w:pPr>
        <w:spacing w:before="280" w:after="280" w:line="240" w:lineRule="auto"/>
        <w:ind w:left="2880" w:firstLine="72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President </w:t>
      </w:r>
      <w:r w:rsidRPr="00B74013">
        <w:rPr>
          <w:rFonts w:ascii="Times New Roman" w:eastAsia="Times New Roman" w:hAnsi="Times New Roman" w:cs="Times New Roman"/>
          <w:b/>
          <w:sz w:val="28"/>
          <w:szCs w:val="28"/>
        </w:rPr>
        <w:t>&amp;</w:t>
      </w:r>
      <w:proofErr w:type="gramEnd"/>
      <w:r>
        <w:rPr>
          <w:rFonts w:ascii="Times New Roman" w:eastAsia="Times New Roman" w:hAnsi="Times New Roman" w:cs="Times New Roman"/>
          <w:b/>
          <w:sz w:val="28"/>
          <w:szCs w:val="28"/>
        </w:rPr>
        <w:t xml:space="preserve"> Shareholder</w:t>
      </w:r>
      <w:bookmarkStart w:id="0" w:name="_GoBack"/>
      <w:bookmarkEnd w:id="0"/>
    </w:p>
    <w:p w:rsidR="00A97EEB" w:rsidRDefault="00B74013" w:rsidP="00B74013">
      <w:pPr>
        <w:spacing w:before="280" w:after="2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          </w:t>
      </w:r>
      <w:hyperlink r:id="rId7">
        <w:r>
          <w:rPr>
            <w:rFonts w:ascii="Times New Roman" w:eastAsia="Times New Roman" w:hAnsi="Times New Roman" w:cs="Times New Roman"/>
            <w:color w:val="0563C1"/>
            <w:sz w:val="24"/>
            <w:szCs w:val="24"/>
            <w:u w:val="single"/>
          </w:rPr>
          <w:t>dmanson@MansonBolves.com</w:t>
        </w:r>
      </w:hyperlink>
    </w:p>
    <w:p w:rsidR="00A97EEB" w:rsidRDefault="00B74013">
      <w:pPr>
        <w:spacing w:before="280" w:after="28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109 North Brush St.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Tampa, FL 33602</w:t>
      </w:r>
      <w:r>
        <w:rPr>
          <w:rFonts w:ascii="Times New Roman" w:eastAsia="Times New Roman" w:hAnsi="Times New Roman" w:cs="Times New Roman"/>
          <w:sz w:val="24"/>
          <w:szCs w:val="24"/>
        </w:rPr>
        <w:br/>
        <w:t>Office: (813) 514-4700 x8001</w:t>
      </w:r>
      <w:r>
        <w:rPr>
          <w:rFonts w:ascii="Times New Roman" w:eastAsia="Times New Roman" w:hAnsi="Times New Roman" w:cs="Times New Roman"/>
          <w:sz w:val="24"/>
          <w:szCs w:val="24"/>
        </w:rPr>
        <w:br/>
        <w:t>Fax: (813) 514-4701</w:t>
      </w:r>
    </w:p>
    <w:p w:rsidR="00A97EEB" w:rsidRDefault="00B740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628650"/>
            <wp:effectExtent l="0" t="0" r="0" b="0"/>
            <wp:docPr id="3" name="image1.jpg" descr="MBDV hubbell rating Manson"/>
            <wp:cNvGraphicFramePr/>
            <a:graphic xmlns:a="http://schemas.openxmlformats.org/drawingml/2006/main">
              <a:graphicData uri="http://schemas.openxmlformats.org/drawingml/2006/picture">
                <pic:pic xmlns:pic="http://schemas.openxmlformats.org/drawingml/2006/picture">
                  <pic:nvPicPr>
                    <pic:cNvPr id="0" name="image1.jpg" descr="MBDV hubbell rating Manson"/>
                    <pic:cNvPicPr preferRelativeResize="0"/>
                  </pic:nvPicPr>
                  <pic:blipFill>
                    <a:blip r:embed="rId8"/>
                    <a:srcRect/>
                    <a:stretch>
                      <a:fillRect/>
                    </a:stretch>
                  </pic:blipFill>
                  <pic:spPr>
                    <a:xfrm>
                      <a:off x="0" y="0"/>
                      <a:ext cx="1905000" cy="628650"/>
                    </a:xfrm>
                    <a:prstGeom prst="rect">
                      <a:avLst/>
                    </a:prstGeom>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143000" cy="9715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43000" cy="971550"/>
                    </a:xfrm>
                    <a:prstGeom prst="rect">
                      <a:avLst/>
                    </a:prstGeom>
                    <a:ln/>
                  </pic:spPr>
                </pic:pic>
              </a:graphicData>
            </a:graphic>
          </wp:inline>
        </w:drawing>
      </w:r>
    </w:p>
    <w:p w:rsidR="00A97EEB" w:rsidRDefault="00B740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 Manson has more than 30 years of experience representing private sector and governments in water, environmental, administrative and governmental law. Named as one of Florida Trend’s Legal Elite, Doug has an AV Rating by Martindale-Hubbell.</w:t>
      </w:r>
    </w:p>
    <w:p w:rsidR="00A97EEB" w:rsidRDefault="00B740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 has su</w:t>
      </w:r>
      <w:r>
        <w:rPr>
          <w:rFonts w:ascii="Times New Roman" w:eastAsia="Times New Roman" w:hAnsi="Times New Roman" w:cs="Times New Roman"/>
          <w:sz w:val="24"/>
          <w:szCs w:val="24"/>
        </w:rPr>
        <w:t>ccessfully represented a broad range of clients and understands the complexities of technical evidence like hydrogeology and wetland biology as well as modeling and the other disciplines needed in these matters.</w:t>
      </w:r>
    </w:p>
    <w:p w:rsidR="00A97EEB" w:rsidRDefault="00B740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 has represented a myriad of public supp</w:t>
      </w:r>
      <w:r>
        <w:rPr>
          <w:rFonts w:ascii="Times New Roman" w:eastAsia="Times New Roman" w:hAnsi="Times New Roman" w:cs="Times New Roman"/>
          <w:sz w:val="24"/>
          <w:szCs w:val="24"/>
        </w:rPr>
        <w:t>ly, industry, business and agricultural clients seeking regulatory authorization for their operations. His other specialties within environmental law include water use and surface water permitting, sovereignty of submerged land, ordinary high-water line is</w:t>
      </w:r>
      <w:r>
        <w:rPr>
          <w:rFonts w:ascii="Times New Roman" w:eastAsia="Times New Roman" w:hAnsi="Times New Roman" w:cs="Times New Roman"/>
          <w:sz w:val="24"/>
          <w:szCs w:val="24"/>
        </w:rPr>
        <w:t>sues, and regulatory compliance and enforcement issues.</w:t>
      </w:r>
    </w:p>
    <w:p w:rsidR="00A97EEB" w:rsidRDefault="00B740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has Doug conducted the Florida Bar Water Law Seminar, he also has presented to the American Water Resources Association on Water Use and Water Rights, the Water Management Institute’s Board o</w:t>
      </w:r>
      <w:r>
        <w:rPr>
          <w:rFonts w:ascii="Times New Roman" w:eastAsia="Times New Roman" w:hAnsi="Times New Roman" w:cs="Times New Roman"/>
          <w:sz w:val="24"/>
          <w:szCs w:val="24"/>
        </w:rPr>
        <w:t>f Directors, the Hillsborough County Agriculture Economic Development Council, and the Hillsborough County Bar Association, among others.</w:t>
      </w:r>
    </w:p>
    <w:p w:rsidR="00A97EEB" w:rsidRDefault="00B74013">
      <w:pPr>
        <w:spacing w:before="280"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Areas of Practice</w:t>
      </w:r>
    </w:p>
    <w:p w:rsidR="00A97EEB" w:rsidRDefault="00B74013">
      <w:pPr>
        <w:numPr>
          <w:ilvl w:val="0"/>
          <w:numId w:val="3"/>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Environmental, Administrative and Governmental Law</w:t>
      </w:r>
    </w:p>
    <w:p w:rsidR="00A97EEB" w:rsidRDefault="00B74013">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affairs</w:t>
      </w:r>
    </w:p>
    <w:p w:rsidR="00A97EEB" w:rsidRDefault="00B74013" w:rsidP="00B74013">
      <w:pPr>
        <w:tabs>
          <w:tab w:val="left" w:pos="0"/>
        </w:tabs>
        <w:spacing w:before="280" w:after="280" w:line="240" w:lineRule="auto"/>
        <w:ind w:left="-270"/>
        <w:rPr>
          <w:rFonts w:ascii="Times New Roman" w:eastAsia="Times New Roman" w:hAnsi="Times New Roman" w:cs="Times New Roman"/>
          <w:b/>
          <w:sz w:val="27"/>
          <w:szCs w:val="27"/>
        </w:rPr>
      </w:pPr>
      <w:bookmarkStart w:id="1" w:name="_gjdgxs" w:colFirst="0" w:colLast="0"/>
      <w:bookmarkEnd w:id="1"/>
      <w:r>
        <w:rPr>
          <w:rFonts w:ascii="Times New Roman" w:eastAsia="Times New Roman" w:hAnsi="Times New Roman" w:cs="Times New Roman"/>
          <w:b/>
          <w:sz w:val="27"/>
          <w:szCs w:val="27"/>
        </w:rPr>
        <w:t>Education</w:t>
      </w:r>
    </w:p>
    <w:p w:rsidR="00A97EEB" w:rsidRDefault="00B74013">
      <w:pPr>
        <w:numPr>
          <w:ilvl w:val="0"/>
          <w:numId w:val="4"/>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Stat</w:t>
      </w:r>
      <w:r>
        <w:rPr>
          <w:rFonts w:ascii="Times New Roman" w:eastAsia="Times New Roman" w:hAnsi="Times New Roman" w:cs="Times New Roman"/>
          <w:sz w:val="24"/>
          <w:szCs w:val="24"/>
        </w:rPr>
        <w:t>e University, J.D., 1985</w:t>
      </w:r>
    </w:p>
    <w:p w:rsidR="00A97EEB" w:rsidRDefault="00B74013">
      <w:pPr>
        <w:numPr>
          <w:ilvl w:val="0"/>
          <w:numId w:val="4"/>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State University, B.S, 1981</w:t>
      </w:r>
    </w:p>
    <w:p w:rsidR="00A97EEB" w:rsidRDefault="00B74013">
      <w:pPr>
        <w:spacing w:before="280"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 xml:space="preserve">Florida </w:t>
      </w:r>
      <w:proofErr w:type="gramStart"/>
      <w:r>
        <w:rPr>
          <w:rFonts w:ascii="Times New Roman" w:eastAsia="Times New Roman" w:hAnsi="Times New Roman" w:cs="Times New Roman"/>
          <w:b/>
          <w:sz w:val="27"/>
          <w:szCs w:val="27"/>
        </w:rPr>
        <w:t>Bar</w:t>
      </w:r>
      <w:proofErr w:type="gramEnd"/>
      <w:r>
        <w:rPr>
          <w:rFonts w:ascii="Times New Roman" w:eastAsia="Times New Roman" w:hAnsi="Times New Roman" w:cs="Times New Roman"/>
          <w:b/>
          <w:sz w:val="27"/>
          <w:szCs w:val="27"/>
        </w:rPr>
        <w:t xml:space="preserve"> Certifications</w:t>
      </w:r>
    </w:p>
    <w:p w:rsidR="00A97EEB" w:rsidRDefault="00B74013">
      <w:pPr>
        <w:numPr>
          <w:ilvl w:val="0"/>
          <w:numId w:val="5"/>
        </w:num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Federal Government and Administrative Practice Board Certification</w:t>
      </w:r>
    </w:p>
    <w:p w:rsidR="00A97EEB" w:rsidRDefault="00B74013">
      <w:pPr>
        <w:spacing w:before="280"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Publications &amp; Presentations</w:t>
      </w:r>
    </w:p>
    <w:p w:rsidR="00A97EEB" w:rsidRDefault="00B740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Speaker for:</w:t>
      </w:r>
    </w:p>
    <w:p w:rsidR="00A97EEB" w:rsidRDefault="00B74013">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Bar Water Law Seminar</w:t>
      </w:r>
    </w:p>
    <w:p w:rsidR="00A97EEB" w:rsidRDefault="00B740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 International on Water Supply Authority Developments</w:t>
      </w:r>
    </w:p>
    <w:p w:rsidR="00A97EEB" w:rsidRDefault="00B740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Water Resources Association on Water Use and Water Rights</w:t>
      </w:r>
    </w:p>
    <w:p w:rsidR="00A97EEB" w:rsidRDefault="00B740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Chamber’s Environmental Permitting Short Course on Alternative Water Supplies</w:t>
      </w:r>
    </w:p>
    <w:p w:rsidR="00A97EEB" w:rsidRDefault="00B740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Management Institute on Water for Sale</w:t>
      </w:r>
    </w:p>
    <w:p w:rsidR="00A97EEB" w:rsidRDefault="00B740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illsborough County Bar Association on Ethics and Professional Courtesy in Administrative Hearings</w:t>
      </w:r>
    </w:p>
    <w:p w:rsidR="00A97EEB" w:rsidRDefault="00B7401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Section: American Water Works Association on Integrated Water Resource Approach</w:t>
      </w:r>
    </w:p>
    <w:p w:rsidR="00A97EEB" w:rsidRDefault="00B74013">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Section: American Society of Agricultural and Biological Engin</w:t>
      </w:r>
      <w:r>
        <w:rPr>
          <w:rFonts w:ascii="Times New Roman" w:eastAsia="Times New Roman" w:hAnsi="Times New Roman" w:cs="Times New Roman"/>
          <w:sz w:val="24"/>
          <w:szCs w:val="24"/>
        </w:rPr>
        <w:t>eers, Principles and Practice of Engineering Laws and Rules Review.</w:t>
      </w:r>
    </w:p>
    <w:p w:rsidR="00A97EEB" w:rsidRDefault="00B74013">
      <w:pPr>
        <w:spacing w:before="280"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Professional Associations, Appointments and Distinctions</w:t>
      </w:r>
    </w:p>
    <w:p w:rsidR="00A97EEB" w:rsidRDefault="00B74013">
      <w:pPr>
        <w:numPr>
          <w:ilvl w:val="0"/>
          <w:numId w:val="2"/>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Trend’s Legal Elite</w:t>
      </w:r>
    </w:p>
    <w:p w:rsidR="00A97EEB" w:rsidRDefault="00B7401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 Rating by Martindale-Hubbell</w:t>
      </w:r>
    </w:p>
    <w:p w:rsidR="00A97EEB" w:rsidRDefault="00B7401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Water Works Association</w:t>
      </w:r>
    </w:p>
    <w:p w:rsidR="00A97EEB" w:rsidRDefault="00B7401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Water Resource Association</w:t>
      </w:r>
    </w:p>
    <w:p w:rsidR="00A97EEB" w:rsidRDefault="00B7401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w:t>
      </w:r>
      <w:r>
        <w:rPr>
          <w:rFonts w:ascii="Times New Roman" w:eastAsia="Times New Roman" w:hAnsi="Times New Roman" w:cs="Times New Roman"/>
          <w:sz w:val="24"/>
          <w:szCs w:val="24"/>
        </w:rPr>
        <w:t>ter Management Institute (Board of Directors)</w:t>
      </w:r>
    </w:p>
    <w:p w:rsidR="00A97EEB" w:rsidRDefault="00B7401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Florida Bar (Member sections on Administrative law; Environmental and Land Use law)</w:t>
      </w:r>
    </w:p>
    <w:p w:rsidR="00A97EEB" w:rsidRDefault="00B7401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Hillsborough County Agriculture Economic Development Council</w:t>
      </w:r>
    </w:p>
    <w:p w:rsidR="00A97EEB" w:rsidRDefault="00B74013">
      <w:pPr>
        <w:numPr>
          <w:ilvl w:val="0"/>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Hillsborough County Bar Association</w:t>
      </w:r>
    </w:p>
    <w:p w:rsidR="00A97EEB" w:rsidRDefault="00B74013">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Firm:</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Manson </w:t>
      </w:r>
      <w:proofErr w:type="spellStart"/>
      <w:r>
        <w:rPr>
          <w:rFonts w:ascii="Times New Roman" w:eastAsia="Times New Roman" w:hAnsi="Times New Roman" w:cs="Times New Roman"/>
          <w:b/>
          <w:color w:val="000000"/>
          <w:sz w:val="24"/>
          <w:szCs w:val="24"/>
        </w:rPr>
        <w:t>Bolves</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Donaldson </w:t>
      </w:r>
      <w:proofErr w:type="spellStart"/>
      <w:r>
        <w:rPr>
          <w:rFonts w:ascii="Times New Roman" w:eastAsia="Times New Roman" w:hAnsi="Times New Roman" w:cs="Times New Roman"/>
          <w:b/>
          <w:color w:val="000000"/>
          <w:sz w:val="24"/>
          <w:szCs w:val="24"/>
        </w:rPr>
        <w:t>Varn</w:t>
      </w:r>
      <w:proofErr w:type="spellEnd"/>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is a Florida based law firm with public and private clients ranging from large, multi-billion dollar interests to start ups. The firm focuses on water, environmental, administrative and governmental law as well as business, contracting and c</w:t>
      </w:r>
      <w:r>
        <w:rPr>
          <w:rFonts w:ascii="Times New Roman" w:eastAsia="Times New Roman" w:hAnsi="Times New Roman" w:cs="Times New Roman"/>
          <w:color w:val="000000"/>
          <w:sz w:val="24"/>
          <w:szCs w:val="24"/>
        </w:rPr>
        <w:t>onstruction.</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Manson </w:t>
      </w:r>
      <w:proofErr w:type="spellStart"/>
      <w:r>
        <w:rPr>
          <w:rFonts w:ascii="Times New Roman" w:eastAsia="Times New Roman" w:hAnsi="Times New Roman" w:cs="Times New Roman"/>
          <w:b/>
          <w:color w:val="000000"/>
          <w:sz w:val="24"/>
          <w:szCs w:val="24"/>
        </w:rPr>
        <w:t>Bolves</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Donaldson </w:t>
      </w:r>
      <w:proofErr w:type="spellStart"/>
      <w:r>
        <w:rPr>
          <w:rFonts w:ascii="Times New Roman" w:eastAsia="Times New Roman" w:hAnsi="Times New Roman" w:cs="Times New Roman"/>
          <w:b/>
          <w:color w:val="000000"/>
          <w:sz w:val="24"/>
          <w:szCs w:val="24"/>
        </w:rPr>
        <w:t>Varn</w:t>
      </w:r>
      <w:proofErr w:type="spellEnd"/>
      <w:r>
        <w:rPr>
          <w:rFonts w:ascii="Times New Roman" w:eastAsia="Times New Roman" w:hAnsi="Times New Roman" w:cs="Times New Roman"/>
          <w:color w:val="000000"/>
          <w:sz w:val="24"/>
          <w:szCs w:val="24"/>
        </w:rPr>
        <w:t xml:space="preserve"> offers a full range of services, from siting and permitting through mediation or litigation. In addition, our legislative practice represents clients with local, regional and state bodies. We assist our clients by </w:t>
      </w:r>
      <w:r>
        <w:rPr>
          <w:rFonts w:ascii="Times New Roman" w:eastAsia="Times New Roman" w:hAnsi="Times New Roman" w:cs="Times New Roman"/>
          <w:color w:val="000000"/>
          <w:sz w:val="24"/>
          <w:szCs w:val="24"/>
        </w:rPr>
        <w:t>negotiating with state and local agencies, and navigating issues through the complex, and sometimes conflicting, governmental process.</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Manson </w:t>
      </w:r>
      <w:proofErr w:type="spellStart"/>
      <w:r>
        <w:rPr>
          <w:rFonts w:ascii="Times New Roman" w:eastAsia="Times New Roman" w:hAnsi="Times New Roman" w:cs="Times New Roman"/>
          <w:b/>
          <w:color w:val="000000"/>
          <w:sz w:val="24"/>
          <w:szCs w:val="24"/>
        </w:rPr>
        <w:t>Bolves</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Donaldson </w:t>
      </w:r>
      <w:proofErr w:type="spellStart"/>
      <w:r>
        <w:rPr>
          <w:rFonts w:ascii="Times New Roman" w:eastAsia="Times New Roman" w:hAnsi="Times New Roman" w:cs="Times New Roman"/>
          <w:b/>
          <w:color w:val="000000"/>
          <w:sz w:val="24"/>
          <w:szCs w:val="24"/>
        </w:rPr>
        <w:t>Varn</w:t>
      </w:r>
      <w:proofErr w:type="spellEnd"/>
      <w:r>
        <w:rPr>
          <w:rFonts w:ascii="Times New Roman" w:eastAsia="Times New Roman" w:hAnsi="Times New Roman" w:cs="Times New Roman"/>
          <w:color w:val="000000"/>
          <w:sz w:val="24"/>
          <w:szCs w:val="24"/>
        </w:rPr>
        <w:t xml:space="preserve"> also provides representation for clients on transactions between governments and private int</w:t>
      </w:r>
      <w:r>
        <w:rPr>
          <w:rFonts w:ascii="Times New Roman" w:eastAsia="Times New Roman" w:hAnsi="Times New Roman" w:cs="Times New Roman"/>
          <w:color w:val="000000"/>
          <w:sz w:val="24"/>
          <w:szCs w:val="24"/>
        </w:rPr>
        <w:t xml:space="preserve">erests, including the negotiation and drafting of </w:t>
      </w:r>
      <w:proofErr w:type="spellStart"/>
      <w:r>
        <w:rPr>
          <w:rFonts w:ascii="Times New Roman" w:eastAsia="Times New Roman" w:hAnsi="Times New Roman" w:cs="Times New Roman"/>
          <w:color w:val="000000"/>
          <w:sz w:val="24"/>
          <w:szCs w:val="24"/>
        </w:rPr>
        <w:t>interlocal</w:t>
      </w:r>
      <w:proofErr w:type="spellEnd"/>
      <w:r>
        <w:rPr>
          <w:rFonts w:ascii="Times New Roman" w:eastAsia="Times New Roman" w:hAnsi="Times New Roman" w:cs="Times New Roman"/>
          <w:color w:val="000000"/>
          <w:sz w:val="24"/>
          <w:szCs w:val="24"/>
        </w:rPr>
        <w:t xml:space="preserve"> agreements.</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Our understanding of government provides a unique perspective for our private sector clients. The processes, the personalities and the policies that move or stall good projects can so</w:t>
      </w:r>
      <w:r>
        <w:rPr>
          <w:rFonts w:ascii="Times New Roman" w:eastAsia="Times New Roman" w:hAnsi="Times New Roman" w:cs="Times New Roman"/>
          <w:color w:val="000000"/>
          <w:sz w:val="24"/>
          <w:szCs w:val="24"/>
        </w:rPr>
        <w:t>metimes be a mystery to our private sector clients. We can untangle the mysteries of those processes and help ensure fair and equitable treatment under the laws, rules and regulations.</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Offices:</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Tampa</w:t>
      </w:r>
      <w:r>
        <w:rPr>
          <w:rFonts w:ascii="Times New Roman" w:eastAsia="Times New Roman" w:hAnsi="Times New Roman" w:cs="Times New Roman"/>
          <w:color w:val="000000"/>
          <w:sz w:val="24"/>
          <w:szCs w:val="24"/>
        </w:rPr>
        <w:br/>
        <w:t>109 North Brush Street</w:t>
      </w:r>
      <w:r>
        <w:rPr>
          <w:rFonts w:ascii="Times New Roman" w:eastAsia="Times New Roman" w:hAnsi="Times New Roman" w:cs="Times New Roman"/>
          <w:color w:val="000000"/>
          <w:sz w:val="24"/>
          <w:szCs w:val="24"/>
        </w:rPr>
        <w:br/>
        <w:t>Suite 300</w:t>
      </w:r>
      <w:r>
        <w:rPr>
          <w:rFonts w:ascii="Times New Roman" w:eastAsia="Times New Roman" w:hAnsi="Times New Roman" w:cs="Times New Roman"/>
          <w:color w:val="000000"/>
          <w:sz w:val="24"/>
          <w:szCs w:val="24"/>
        </w:rPr>
        <w:br/>
        <w:t>Tampa, FL 33602</w:t>
      </w:r>
      <w:r>
        <w:rPr>
          <w:rFonts w:ascii="Times New Roman" w:eastAsia="Times New Roman" w:hAnsi="Times New Roman" w:cs="Times New Roman"/>
          <w:color w:val="000000"/>
          <w:sz w:val="24"/>
          <w:szCs w:val="24"/>
        </w:rPr>
        <w:br/>
        <w:t>813.514</w:t>
      </w:r>
      <w:r>
        <w:rPr>
          <w:rFonts w:ascii="Times New Roman" w:eastAsia="Times New Roman" w:hAnsi="Times New Roman" w:cs="Times New Roman"/>
          <w:color w:val="000000"/>
          <w:sz w:val="24"/>
          <w:szCs w:val="24"/>
        </w:rPr>
        <w:t xml:space="preserve">.4700 Office </w:t>
      </w:r>
      <w:r>
        <w:rPr>
          <w:rFonts w:ascii="Times New Roman" w:eastAsia="Times New Roman" w:hAnsi="Times New Roman" w:cs="Times New Roman"/>
          <w:color w:val="000000"/>
          <w:sz w:val="24"/>
          <w:szCs w:val="24"/>
        </w:rPr>
        <w:br/>
        <w:t>813.514.4701 Fax</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Tallahassee</w:t>
      </w:r>
      <w:r>
        <w:rPr>
          <w:rFonts w:ascii="Times New Roman" w:eastAsia="Times New Roman" w:hAnsi="Times New Roman" w:cs="Times New Roman"/>
          <w:color w:val="000000"/>
          <w:sz w:val="24"/>
          <w:szCs w:val="24"/>
        </w:rPr>
        <w:br/>
        <w:t>106 East College Ave. Suite 820</w:t>
      </w:r>
      <w:r>
        <w:rPr>
          <w:rFonts w:ascii="Times New Roman" w:eastAsia="Times New Roman" w:hAnsi="Times New Roman" w:cs="Times New Roman"/>
          <w:color w:val="000000"/>
          <w:sz w:val="24"/>
          <w:szCs w:val="24"/>
        </w:rPr>
        <w:br/>
        <w:t>Tallahassee, FL 32301</w:t>
      </w:r>
      <w:r>
        <w:rPr>
          <w:rFonts w:ascii="Times New Roman" w:eastAsia="Times New Roman" w:hAnsi="Times New Roman" w:cs="Times New Roman"/>
          <w:color w:val="000000"/>
          <w:sz w:val="24"/>
          <w:szCs w:val="24"/>
        </w:rPr>
        <w:br/>
        <w:t>850.583.0007 Office</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Orlando</w:t>
      </w:r>
      <w:r>
        <w:rPr>
          <w:rFonts w:ascii="Times New Roman" w:eastAsia="Times New Roman" w:hAnsi="Times New Roman" w:cs="Times New Roman"/>
          <w:color w:val="000000"/>
          <w:sz w:val="24"/>
          <w:szCs w:val="24"/>
        </w:rPr>
        <w:br/>
        <w:t>7479 Conroy Windermere Road</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br/>
        <w:t>Suite B</w:t>
      </w:r>
      <w:r>
        <w:rPr>
          <w:rFonts w:ascii="Times New Roman" w:eastAsia="Times New Roman" w:hAnsi="Times New Roman" w:cs="Times New Roman"/>
          <w:color w:val="000000"/>
          <w:sz w:val="24"/>
          <w:szCs w:val="24"/>
        </w:rPr>
        <w:br/>
        <w:t>Orlando, FL 32835</w:t>
      </w:r>
    </w:p>
    <w:p w:rsidR="00A97EEB" w:rsidRDefault="00B7401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West Palm Beach</w:t>
      </w:r>
      <w:r>
        <w:rPr>
          <w:rFonts w:ascii="Times New Roman" w:eastAsia="Times New Roman" w:hAnsi="Times New Roman" w:cs="Times New Roman"/>
          <w:color w:val="000000"/>
          <w:sz w:val="24"/>
          <w:szCs w:val="24"/>
        </w:rPr>
        <w:br/>
        <w:t>515 N. Flagler Drive</w:t>
      </w:r>
      <w:r>
        <w:rPr>
          <w:rFonts w:ascii="Times New Roman" w:eastAsia="Times New Roman" w:hAnsi="Times New Roman" w:cs="Times New Roman"/>
          <w:color w:val="000000"/>
          <w:sz w:val="24"/>
          <w:szCs w:val="24"/>
        </w:rPr>
        <w:br/>
        <w:t>Suite 301</w:t>
      </w:r>
      <w:r>
        <w:rPr>
          <w:rFonts w:ascii="Times New Roman" w:eastAsia="Times New Roman" w:hAnsi="Times New Roman" w:cs="Times New Roman"/>
          <w:color w:val="000000"/>
          <w:sz w:val="24"/>
          <w:szCs w:val="24"/>
        </w:rPr>
        <w:br/>
        <w:t>West Palm Beach, FL 33401</w:t>
      </w:r>
      <w:r>
        <w:rPr>
          <w:rFonts w:ascii="Times New Roman" w:eastAsia="Times New Roman" w:hAnsi="Times New Roman" w:cs="Times New Roman"/>
          <w:color w:val="000000"/>
          <w:sz w:val="24"/>
          <w:szCs w:val="24"/>
        </w:rPr>
        <w:br/>
        <w:t>561</w:t>
      </w:r>
      <w:r>
        <w:rPr>
          <w:rFonts w:ascii="Times New Roman" w:eastAsia="Times New Roman" w:hAnsi="Times New Roman" w:cs="Times New Roman"/>
          <w:color w:val="000000"/>
          <w:sz w:val="24"/>
          <w:szCs w:val="24"/>
        </w:rPr>
        <w:t>.410.7797 Office</w:t>
      </w:r>
    </w:p>
    <w:p w:rsidR="00A97EEB" w:rsidRDefault="00A97EE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A97EEB" w:rsidRDefault="00A97EEB"/>
    <w:sectPr w:rsidR="00A97EEB" w:rsidSect="00B74013">
      <w:pgSz w:w="12240" w:h="15840"/>
      <w:pgMar w:top="144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FFD"/>
    <w:multiLevelType w:val="multilevel"/>
    <w:tmpl w:val="8C7E2B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E179DC"/>
    <w:multiLevelType w:val="multilevel"/>
    <w:tmpl w:val="A126E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7F22131"/>
    <w:multiLevelType w:val="multilevel"/>
    <w:tmpl w:val="3F74B9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BD2370"/>
    <w:multiLevelType w:val="multilevel"/>
    <w:tmpl w:val="685AAC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510623C"/>
    <w:multiLevelType w:val="multilevel"/>
    <w:tmpl w:val="CDF81D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97EEB"/>
    <w:rsid w:val="00A97EEB"/>
    <w:rsid w:val="00B7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dmanson@MansonBolv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Boylan, Michael</dc:creator>
  <cp:lastModifiedBy>Administrator</cp:lastModifiedBy>
  <cp:revision>2</cp:revision>
  <dcterms:created xsi:type="dcterms:W3CDTF">2019-10-07T14:51:00Z</dcterms:created>
  <dcterms:modified xsi:type="dcterms:W3CDTF">2019-10-07T14:51:00Z</dcterms:modified>
</cp:coreProperties>
</file>